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C" w:rsidRDefault="00DE40DC" w:rsidP="00DE40DC">
      <w:pPr>
        <w:pStyle w:val="Default"/>
        <w:jc w:val="center"/>
        <w:rPr>
          <w:sz w:val="22"/>
          <w:szCs w:val="22"/>
        </w:rPr>
      </w:pPr>
      <w:r w:rsidRPr="0048775B">
        <w:rPr>
          <w:sz w:val="22"/>
          <w:szCs w:val="22"/>
        </w:rPr>
        <w:t xml:space="preserve">Сведения о результативности и качестве реализации дополнительной общеобразовательной общеразвивающей программы </w:t>
      </w:r>
      <w:r w:rsidR="00BD27EA">
        <w:rPr>
          <w:sz w:val="22"/>
          <w:szCs w:val="22"/>
        </w:rPr>
        <w:t>т</w:t>
      </w:r>
      <w:r w:rsidRPr="0048775B">
        <w:rPr>
          <w:sz w:val="22"/>
          <w:szCs w:val="22"/>
        </w:rPr>
        <w:t>уристско-краеведческой направленности «Просторы родного края»» педагога дополнительного образования муниципального бюджетного образовательного  учреждения дополнительного образования «Токарёвский районный Дом детского творчества»</w:t>
      </w:r>
    </w:p>
    <w:p w:rsidR="00DE40DC" w:rsidRDefault="00BD27EA" w:rsidP="00DE40D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Невежиной Светланы Владимировны</w:t>
      </w:r>
    </w:p>
    <w:p w:rsidR="00DE40DC" w:rsidRDefault="00DE40DC" w:rsidP="00DE40DC">
      <w:pPr>
        <w:pStyle w:val="Default"/>
        <w:rPr>
          <w:b/>
          <w:color w:val="365F91" w:themeColor="accent1" w:themeShade="BF"/>
          <w:sz w:val="22"/>
          <w:szCs w:val="22"/>
        </w:rPr>
        <w:sectPr w:rsidR="00DE40DC" w:rsidSect="00DE40DC">
          <w:type w:val="continuous"/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DE40DC" w:rsidRPr="000A54B3" w:rsidRDefault="00DE40DC" w:rsidP="00DE40DC">
      <w:pPr>
        <w:pStyle w:val="Default"/>
        <w:rPr>
          <w:b/>
          <w:color w:val="365F91" w:themeColor="accent1" w:themeShade="BF"/>
          <w:sz w:val="22"/>
          <w:szCs w:val="22"/>
        </w:rPr>
      </w:pPr>
      <w:r w:rsidRPr="000A54B3">
        <w:rPr>
          <w:b/>
          <w:color w:val="365F91" w:themeColor="accent1" w:themeShade="BF"/>
          <w:sz w:val="22"/>
          <w:szCs w:val="22"/>
        </w:rPr>
        <w:lastRenderedPageBreak/>
        <w:t>Показатели системы оценки результативности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Pr="000A54B3">
        <w:rPr>
          <w:b/>
          <w:color w:val="365F91" w:themeColor="accent1" w:themeShade="BF"/>
          <w:sz w:val="22"/>
          <w:szCs w:val="22"/>
        </w:rPr>
        <w:t xml:space="preserve">и качества реализации программы:                                              </w:t>
      </w:r>
    </w:p>
    <w:p w:rsidR="00DE40DC" w:rsidRPr="0048775B" w:rsidRDefault="00DE40DC" w:rsidP="00DE40DC">
      <w:pPr>
        <w:pStyle w:val="Default"/>
        <w:rPr>
          <w:b/>
          <w:sz w:val="22"/>
          <w:szCs w:val="22"/>
        </w:rPr>
      </w:pPr>
      <w:r w:rsidRPr="0048775B">
        <w:rPr>
          <w:b/>
          <w:sz w:val="22"/>
          <w:szCs w:val="22"/>
        </w:rPr>
        <w:t xml:space="preserve">- </w:t>
      </w:r>
      <w:r w:rsidRPr="0048775B">
        <w:rPr>
          <w:sz w:val="22"/>
          <w:szCs w:val="22"/>
        </w:rPr>
        <w:t xml:space="preserve">сохранность контингента;                                                                 </w:t>
      </w:r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>- сравнительный анализ результатов освоения</w:t>
      </w:r>
      <w:r>
        <w:rPr>
          <w:sz w:val="22"/>
          <w:szCs w:val="22"/>
        </w:rPr>
        <w:t xml:space="preserve">                                                            </w:t>
      </w:r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 xml:space="preserve"> знаний, умений и навыков обучающихся;                                                         </w:t>
      </w:r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 xml:space="preserve">- сохранность контингента;                                                                                   </w:t>
      </w:r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>- динамика развития качеств личности обучающихся;</w:t>
      </w:r>
    </w:p>
    <w:p w:rsidR="00DE40DC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>- результативность участия и побед,</w:t>
      </w:r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 xml:space="preserve"> </w:t>
      </w:r>
      <w:proofErr w:type="gramStart"/>
      <w:r w:rsidR="00BD27EA">
        <w:rPr>
          <w:sz w:val="22"/>
          <w:szCs w:val="22"/>
        </w:rPr>
        <w:t>о</w:t>
      </w:r>
      <w:r w:rsidRPr="0048775B">
        <w:rPr>
          <w:sz w:val="22"/>
          <w:szCs w:val="22"/>
        </w:rPr>
        <w:t>бучающихся</w:t>
      </w:r>
      <w:r>
        <w:rPr>
          <w:sz w:val="22"/>
          <w:szCs w:val="22"/>
        </w:rPr>
        <w:t xml:space="preserve"> </w:t>
      </w:r>
      <w:r w:rsidRPr="0048775B">
        <w:rPr>
          <w:sz w:val="22"/>
          <w:szCs w:val="22"/>
        </w:rPr>
        <w:t>в конкурсах различного уровня;</w:t>
      </w:r>
      <w:proofErr w:type="gramEnd"/>
    </w:p>
    <w:p w:rsidR="00DE40DC" w:rsidRPr="0048775B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>- ориентированность на выбор профессии;</w:t>
      </w:r>
    </w:p>
    <w:p w:rsidR="00DE40DC" w:rsidRPr="00C47CBE" w:rsidRDefault="00DE40DC" w:rsidP="00DE40DC">
      <w:pPr>
        <w:pStyle w:val="Default"/>
        <w:rPr>
          <w:sz w:val="22"/>
          <w:szCs w:val="22"/>
        </w:rPr>
      </w:pPr>
      <w:r w:rsidRPr="0048775B">
        <w:rPr>
          <w:sz w:val="22"/>
          <w:szCs w:val="22"/>
        </w:rPr>
        <w:t>-степень удовлетво</w:t>
      </w:r>
      <w:r>
        <w:rPr>
          <w:sz w:val="22"/>
          <w:szCs w:val="22"/>
        </w:rPr>
        <w:t xml:space="preserve">ренности обучающихся родителей, </w:t>
      </w:r>
      <w:r w:rsidRPr="0048775B">
        <w:rPr>
          <w:sz w:val="22"/>
          <w:szCs w:val="22"/>
        </w:rPr>
        <w:t>законных представителей образовательным процессом.</w:t>
      </w:r>
    </w:p>
    <w:p w:rsidR="00DE40DC" w:rsidRPr="000A54B3" w:rsidRDefault="00DE40DC" w:rsidP="00DE40DC">
      <w:pPr>
        <w:pStyle w:val="Default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1.</w:t>
      </w:r>
      <w:r w:rsidRPr="000A54B3">
        <w:rPr>
          <w:b/>
          <w:color w:val="365F91" w:themeColor="accent1" w:themeShade="BF"/>
          <w:sz w:val="22"/>
          <w:szCs w:val="22"/>
        </w:rPr>
        <w:t xml:space="preserve">Сохранность контингента </w:t>
      </w:r>
      <w:proofErr w:type="gramStart"/>
      <w:r w:rsidRPr="000A54B3">
        <w:rPr>
          <w:b/>
          <w:color w:val="365F91" w:themeColor="accent1" w:themeShade="BF"/>
          <w:sz w:val="22"/>
          <w:szCs w:val="22"/>
        </w:rPr>
        <w:t>обучающихся</w:t>
      </w:r>
      <w:proofErr w:type="gramEnd"/>
      <w:r>
        <w:rPr>
          <w:b/>
          <w:color w:val="365F91" w:themeColor="accent1" w:themeShade="BF"/>
          <w:sz w:val="22"/>
          <w:szCs w:val="22"/>
        </w:rPr>
        <w:t xml:space="preserve"> с</w:t>
      </w:r>
      <w:r w:rsidRPr="000A54B3">
        <w:rPr>
          <w:b/>
          <w:color w:val="365F91" w:themeColor="accent1" w:themeShade="BF"/>
          <w:sz w:val="22"/>
          <w:szCs w:val="22"/>
        </w:rPr>
        <w:t>оответствует оптимальному уровню и составляет 100%</w:t>
      </w:r>
    </w:p>
    <w:p w:rsidR="00DE40DC" w:rsidRPr="00C47CBE" w:rsidRDefault="00DE40DC" w:rsidP="00DE40DC">
      <w:pPr>
        <w:pStyle w:val="Default"/>
        <w:rPr>
          <w:sz w:val="22"/>
          <w:szCs w:val="22"/>
        </w:rPr>
      </w:pPr>
      <w:r w:rsidRPr="00C47CBE">
        <w:rPr>
          <w:sz w:val="22"/>
          <w:szCs w:val="22"/>
        </w:rPr>
        <w:drawing>
          <wp:inline distT="0" distB="0" distL="0" distR="0">
            <wp:extent cx="2695575" cy="1276350"/>
            <wp:effectExtent l="19050" t="0" r="9525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40DC" w:rsidRDefault="00DE40DC" w:rsidP="00DE40DC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По </w:t>
      </w:r>
      <w:r w:rsidR="00BD27EA">
        <w:rPr>
          <w:noProof/>
          <w:sz w:val="23"/>
          <w:szCs w:val="23"/>
        </w:rPr>
        <w:t>итогам мо</w:t>
      </w:r>
      <w:r>
        <w:rPr>
          <w:noProof/>
          <w:sz w:val="23"/>
          <w:szCs w:val="23"/>
        </w:rPr>
        <w:t>ниторинга, проводимого организацией, за 2019-2022 годы обучения по программе по всем показателям, в том числе со стороны администрации,</w:t>
      </w:r>
      <w:r w:rsidRPr="00204347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з</w:t>
      </w:r>
      <w:r w:rsidR="00BD27EA">
        <w:rPr>
          <w:noProof/>
          <w:sz w:val="23"/>
          <w:szCs w:val="23"/>
        </w:rPr>
        <w:t>афиксирован</w:t>
      </w:r>
      <w:r>
        <w:rPr>
          <w:noProof/>
          <w:sz w:val="23"/>
          <w:szCs w:val="23"/>
        </w:rPr>
        <w:t xml:space="preserve">а положительная динамика освоения </w:t>
      </w:r>
    </w:p>
    <w:p w:rsidR="00DE40DC" w:rsidRPr="0035371C" w:rsidRDefault="00DE40DC" w:rsidP="00DE40DC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>результатов ДООП</w:t>
      </w:r>
    </w:p>
    <w:p w:rsidR="00DE40DC" w:rsidRPr="0035371C" w:rsidRDefault="00DE40DC" w:rsidP="00DE40DC">
      <w:pPr>
        <w:pStyle w:val="Default"/>
        <w:rPr>
          <w:b/>
          <w:color w:val="365F91" w:themeColor="accent1" w:themeShade="BF"/>
          <w:sz w:val="22"/>
          <w:szCs w:val="22"/>
        </w:rPr>
      </w:pPr>
      <w:r w:rsidRPr="000A54B3">
        <w:rPr>
          <w:b/>
          <w:color w:val="365F91" w:themeColor="accent1" w:themeShade="BF"/>
          <w:sz w:val="22"/>
          <w:szCs w:val="22"/>
        </w:rPr>
        <w:t>2. Сравнительный анализ результатов освоения знаний, умений и навыков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Pr="000A54B3">
        <w:rPr>
          <w:b/>
          <w:color w:val="365F91" w:themeColor="accent1" w:themeShade="BF"/>
          <w:sz w:val="22"/>
          <w:szCs w:val="22"/>
        </w:rPr>
        <w:t xml:space="preserve">и качества реализации программы:                                              </w:t>
      </w:r>
    </w:p>
    <w:p w:rsidR="00DE40DC" w:rsidRDefault="00DE40DC" w:rsidP="00DE40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47CBE">
        <w:rPr>
          <w:sz w:val="22"/>
          <w:szCs w:val="22"/>
        </w:rPr>
        <w:drawing>
          <wp:inline distT="0" distB="0" distL="0" distR="0">
            <wp:extent cx="2390775" cy="1590675"/>
            <wp:effectExtent l="19050" t="0" r="9525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40DC" w:rsidRPr="0035371C" w:rsidRDefault="00DE40DC" w:rsidP="00DE40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Увеличение </w:t>
      </w:r>
      <w:r w:rsidR="00BD27EA">
        <w:rPr>
          <w:sz w:val="22"/>
          <w:szCs w:val="22"/>
        </w:rPr>
        <w:t>количества обучающихся со средним и высоки</w:t>
      </w:r>
      <w:r>
        <w:rPr>
          <w:sz w:val="22"/>
          <w:szCs w:val="22"/>
        </w:rPr>
        <w:t xml:space="preserve">м уровнем </w:t>
      </w:r>
      <w:proofErr w:type="spellStart"/>
      <w:r>
        <w:rPr>
          <w:sz w:val="22"/>
          <w:szCs w:val="22"/>
        </w:rPr>
        <w:t>обученности</w:t>
      </w:r>
      <w:proofErr w:type="spellEnd"/>
      <w:r>
        <w:rPr>
          <w:sz w:val="22"/>
          <w:szCs w:val="22"/>
        </w:rPr>
        <w:t xml:space="preserve"> обусловлено использованием активных и интерактивных технологий, применением проблемно-поиско</w:t>
      </w:r>
      <w:r w:rsidR="00BD27EA">
        <w:rPr>
          <w:sz w:val="22"/>
          <w:szCs w:val="22"/>
        </w:rPr>
        <w:t>во</w:t>
      </w:r>
      <w:r>
        <w:rPr>
          <w:sz w:val="22"/>
          <w:szCs w:val="22"/>
        </w:rPr>
        <w:t>го метода обучения, создание индивидуальных образовательных маршрутов, обучающихся через выбор области исследовательской деятельности.</w:t>
      </w:r>
    </w:p>
    <w:p w:rsidR="00DE40DC" w:rsidRPr="00CB2CA9" w:rsidRDefault="00DE40DC" w:rsidP="00DE40DC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 w:rsidRPr="0030506B">
        <w:rPr>
          <w:rFonts w:ascii="Times New Roman" w:hAnsi="Times New Roman" w:cs="Times New Roman"/>
          <w:b/>
          <w:color w:val="244061" w:themeColor="accent1" w:themeShade="80"/>
        </w:rPr>
        <w:lastRenderedPageBreak/>
        <w:t xml:space="preserve">3. Динамика развития </w:t>
      </w:r>
      <w:r>
        <w:rPr>
          <w:rFonts w:ascii="Times New Roman" w:hAnsi="Times New Roman" w:cs="Times New Roman"/>
          <w:b/>
          <w:color w:val="244061" w:themeColor="accent1" w:themeShade="80"/>
        </w:rPr>
        <w:t xml:space="preserve">качеств </w:t>
      </w:r>
      <w:r w:rsidRPr="0030506B">
        <w:rPr>
          <w:rFonts w:ascii="Times New Roman" w:hAnsi="Times New Roman" w:cs="Times New Roman"/>
          <w:b/>
          <w:color w:val="244061" w:themeColor="accent1" w:themeShade="80"/>
        </w:rPr>
        <w:t>личности обучающихс</w:t>
      </w:r>
      <w:r>
        <w:rPr>
          <w:rFonts w:ascii="Times New Roman" w:hAnsi="Times New Roman" w:cs="Times New Roman"/>
          <w:b/>
          <w:color w:val="244061" w:themeColor="accent1" w:themeShade="80"/>
        </w:rPr>
        <w:t>я</w:t>
      </w:r>
    </w:p>
    <w:p w:rsidR="00DE40DC" w:rsidRDefault="00DE40DC" w:rsidP="00DE40DC">
      <w:pPr>
        <w:pStyle w:val="Default"/>
        <w:rPr>
          <w:sz w:val="22"/>
          <w:szCs w:val="22"/>
        </w:rPr>
      </w:pPr>
      <w:r w:rsidRPr="0035371C">
        <w:rPr>
          <w:sz w:val="22"/>
          <w:szCs w:val="22"/>
        </w:rPr>
        <w:drawing>
          <wp:inline distT="0" distB="0" distL="0" distR="0">
            <wp:extent cx="3343275" cy="1704975"/>
            <wp:effectExtent l="19050" t="0" r="9525" b="0"/>
            <wp:docPr id="2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40DC" w:rsidRDefault="00DE40DC" w:rsidP="00DE40D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 результатам диагностики за курс обучения по программе наиболее развиты такие качества личности обучающихся, как </w:t>
      </w:r>
      <w:proofErr w:type="spellStart"/>
      <w:r w:rsidRPr="00204347">
        <w:rPr>
          <w:sz w:val="23"/>
          <w:szCs w:val="23"/>
        </w:rPr>
        <w:t>креативность</w:t>
      </w:r>
      <w:proofErr w:type="spellEnd"/>
      <w:r w:rsidRPr="00204347">
        <w:rPr>
          <w:sz w:val="23"/>
          <w:szCs w:val="23"/>
        </w:rPr>
        <w:t>, активность, интеллектуальность и нравственность за счет участия</w:t>
      </w:r>
      <w:r>
        <w:rPr>
          <w:sz w:val="23"/>
          <w:szCs w:val="23"/>
        </w:rPr>
        <w:t xml:space="preserve"> в воспитательных и творческих мероприятиях</w:t>
      </w:r>
      <w:r>
        <w:rPr>
          <w:sz w:val="23"/>
          <w:szCs w:val="23"/>
        </w:rPr>
        <w:t>.</w:t>
      </w:r>
      <w:proofErr w:type="gramEnd"/>
    </w:p>
    <w:p w:rsidR="00DE40DC" w:rsidRPr="007634F7" w:rsidRDefault="00DE40DC" w:rsidP="00DE40DC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 w:rsidRPr="002F7F98">
        <w:rPr>
          <w:rFonts w:ascii="Times New Roman" w:hAnsi="Times New Roman" w:cs="Times New Roman"/>
          <w:b/>
          <w:color w:val="244061" w:themeColor="accent1" w:themeShade="80"/>
        </w:rPr>
        <w:t>4. Результативность участия и побед, обучающихся в конкурсах</w:t>
      </w:r>
      <w:r>
        <w:rPr>
          <w:rFonts w:ascii="Times New Roman" w:hAnsi="Times New Roman" w:cs="Times New Roman"/>
          <w:b/>
          <w:color w:val="244061" w:themeColor="accent1" w:themeShade="80"/>
        </w:rPr>
        <w:t xml:space="preserve">  различного уровня</w:t>
      </w:r>
    </w:p>
    <w:p w:rsidR="00DE40DC" w:rsidRDefault="00DE40DC" w:rsidP="00DE40DC">
      <w:pPr>
        <w:pStyle w:val="Default"/>
        <w:rPr>
          <w:b/>
          <w:color w:val="365F91" w:themeColor="accent1" w:themeShade="BF"/>
          <w:sz w:val="22"/>
          <w:szCs w:val="22"/>
        </w:rPr>
      </w:pPr>
      <w:r w:rsidRPr="007634F7">
        <w:rPr>
          <w:b/>
          <w:color w:val="365F91" w:themeColor="accent1" w:themeShade="BF"/>
          <w:sz w:val="22"/>
          <w:szCs w:val="22"/>
        </w:rPr>
        <w:drawing>
          <wp:inline distT="0" distB="0" distL="0" distR="0">
            <wp:extent cx="3228975" cy="2047875"/>
            <wp:effectExtent l="19050" t="0" r="9525" b="0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18CD" w:rsidRDefault="00DE40DC" w:rsidP="00DE40D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одержали победу в</w:t>
      </w:r>
    </w:p>
    <w:p w:rsidR="004818CD" w:rsidRDefault="00DE40DC" w:rsidP="00DE4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Региональных </w:t>
      </w:r>
      <w:proofErr w:type="gramStart"/>
      <w:r>
        <w:rPr>
          <w:sz w:val="23"/>
          <w:szCs w:val="23"/>
        </w:rPr>
        <w:t>конкурсах</w:t>
      </w:r>
      <w:proofErr w:type="gramEnd"/>
      <w:r w:rsidR="004818CD">
        <w:rPr>
          <w:sz w:val="23"/>
          <w:szCs w:val="23"/>
        </w:rPr>
        <w:t>:</w:t>
      </w:r>
      <w:r>
        <w:rPr>
          <w:sz w:val="23"/>
          <w:szCs w:val="23"/>
        </w:rPr>
        <w:t xml:space="preserve"> «Школа безопасности», «Лучший туристический поход», «Моя земля, мои земляки», «Туристическое агентство», «Фестиваль краеведческих объединений», «Туристско-краеведчески</w:t>
      </w:r>
      <w:r w:rsidR="00BD27EA">
        <w:rPr>
          <w:sz w:val="23"/>
          <w:szCs w:val="23"/>
        </w:rPr>
        <w:t>е</w:t>
      </w:r>
      <w:r w:rsidR="004818CD">
        <w:rPr>
          <w:sz w:val="23"/>
          <w:szCs w:val="23"/>
        </w:rPr>
        <w:t xml:space="preserve"> походы</w:t>
      </w:r>
      <w:r>
        <w:rPr>
          <w:sz w:val="23"/>
          <w:szCs w:val="23"/>
        </w:rPr>
        <w:t xml:space="preserve"> и экспедици</w:t>
      </w:r>
      <w:r w:rsidR="004818CD">
        <w:rPr>
          <w:sz w:val="23"/>
          <w:szCs w:val="23"/>
        </w:rPr>
        <w:t>и»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818CD">
        <w:rPr>
          <w:sz w:val="23"/>
          <w:szCs w:val="23"/>
        </w:rPr>
        <w:t xml:space="preserve">Всероссийских </w:t>
      </w:r>
      <w:proofErr w:type="gramStart"/>
      <w:r w:rsidR="004818CD">
        <w:rPr>
          <w:sz w:val="23"/>
          <w:szCs w:val="23"/>
        </w:rPr>
        <w:t>конкурсах</w:t>
      </w:r>
      <w:proofErr w:type="gramEnd"/>
      <w:r w:rsidR="004818CD">
        <w:rPr>
          <w:sz w:val="23"/>
          <w:szCs w:val="23"/>
        </w:rPr>
        <w:t xml:space="preserve">: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Сибирия</w:t>
      </w:r>
      <w:proofErr w:type="spellEnd"/>
      <w:r>
        <w:rPr>
          <w:sz w:val="23"/>
          <w:szCs w:val="23"/>
        </w:rPr>
        <w:t>», «Зимняя туриада-2021», «Школа безопасности».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Сравнительный анализ результативности за 2019-2020, 2020-2021, 2021-2022 учебные годы показали увеличение количества участников и победителей в конкурсах различного уровня в среднем в 2 раза. </w:t>
      </w:r>
    </w:p>
    <w:p w:rsidR="00BD27EA" w:rsidRDefault="00BD27EA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BD27EA" w:rsidRDefault="00BD27EA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Pr="007634F7" w:rsidRDefault="00DE40DC" w:rsidP="00DE40DC">
      <w:pPr>
        <w:pStyle w:val="Default"/>
        <w:rPr>
          <w:color w:val="244061" w:themeColor="accent1" w:themeShade="80"/>
          <w:sz w:val="23"/>
          <w:szCs w:val="23"/>
        </w:rPr>
      </w:pPr>
      <w:r w:rsidRPr="006A4890">
        <w:rPr>
          <w:b/>
          <w:bCs/>
          <w:color w:val="244061" w:themeColor="accent1" w:themeShade="80"/>
          <w:sz w:val="23"/>
          <w:szCs w:val="23"/>
        </w:rPr>
        <w:lastRenderedPageBreak/>
        <w:t xml:space="preserve">5. Ориентированность на выбор профессии </w:t>
      </w:r>
      <w:r>
        <w:rPr>
          <w:sz w:val="23"/>
          <w:szCs w:val="23"/>
        </w:rPr>
        <w:t xml:space="preserve">подтверждают результаты её реализации 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отслеживаются профессиональные наклонности, интересы и предпочтения; 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составляются индивидуальные образовательные маршруты; 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проводится проектная и исследовательская деятельность; 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предоставляется возможность практики в профильных лагерях; </w:t>
      </w:r>
    </w:p>
    <w:p w:rsidR="00DE40DC" w:rsidRDefault="00DE40DC" w:rsidP="00DE40D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рост заинтересованности педагогическими профессиями к концу курса составляет 79</w:t>
      </w:r>
      <w:r w:rsidR="004818CD">
        <w:rPr>
          <w:sz w:val="23"/>
          <w:szCs w:val="23"/>
        </w:rPr>
        <w:t>%.</w:t>
      </w: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  <w:r>
        <w:rPr>
          <w:b/>
          <w:bCs/>
          <w:color w:val="244061" w:themeColor="accent1" w:themeShade="80"/>
          <w:sz w:val="23"/>
          <w:szCs w:val="23"/>
        </w:rPr>
        <w:t>6</w:t>
      </w:r>
      <w:r w:rsidRPr="006A4890">
        <w:rPr>
          <w:b/>
          <w:bCs/>
          <w:color w:val="244061" w:themeColor="accent1" w:themeShade="80"/>
          <w:sz w:val="23"/>
          <w:szCs w:val="23"/>
        </w:rPr>
        <w:t>. Степень удовлетворенности обучающихся, родителей, законных представителей</w:t>
      </w:r>
      <w:r>
        <w:rPr>
          <w:b/>
          <w:bCs/>
          <w:color w:val="244061" w:themeColor="accent1" w:themeShade="80"/>
          <w:sz w:val="23"/>
          <w:szCs w:val="23"/>
        </w:rPr>
        <w:t xml:space="preserve"> </w:t>
      </w:r>
      <w:r w:rsidRPr="006A4890">
        <w:rPr>
          <w:b/>
          <w:bCs/>
          <w:color w:val="244061" w:themeColor="accent1" w:themeShade="80"/>
          <w:sz w:val="23"/>
          <w:szCs w:val="23"/>
        </w:rPr>
        <w:t>образовательным процессом</w:t>
      </w: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  <w:r w:rsidRPr="007634F7">
        <w:rPr>
          <w:b/>
          <w:color w:val="365F91" w:themeColor="accent1" w:themeShade="BF"/>
          <w:sz w:val="22"/>
          <w:szCs w:val="22"/>
        </w:rPr>
        <w:drawing>
          <wp:inline distT="0" distB="0" distL="0" distR="0">
            <wp:extent cx="3105150" cy="1552575"/>
            <wp:effectExtent l="19050" t="0" r="19050" b="0"/>
            <wp:docPr id="3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Pr="00BD27EA" w:rsidRDefault="00DE40DC" w:rsidP="00DE4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опросе принимали участие обучающиеся, родители, законные представители.</w:t>
      </w: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Default="00DE40DC" w:rsidP="00DE40DC">
      <w:pPr>
        <w:pStyle w:val="Default"/>
        <w:rPr>
          <w:b/>
          <w:bCs/>
          <w:color w:val="244061" w:themeColor="accent1" w:themeShade="80"/>
          <w:sz w:val="23"/>
          <w:szCs w:val="23"/>
        </w:rPr>
      </w:pPr>
    </w:p>
    <w:p w:rsidR="00DE40DC" w:rsidRPr="00BD27EA" w:rsidRDefault="00DE40DC" w:rsidP="00BD27EA">
      <w:pPr>
        <w:pStyle w:val="Default"/>
        <w:rPr>
          <w:color w:val="244061" w:themeColor="accent1" w:themeShade="80"/>
          <w:sz w:val="23"/>
          <w:szCs w:val="23"/>
        </w:rPr>
        <w:sectPr w:rsidR="00DE40DC" w:rsidRPr="00BD27EA" w:rsidSect="00DE40DC">
          <w:type w:val="continuous"/>
          <w:pgSz w:w="11906" w:h="16838"/>
          <w:pgMar w:top="1134" w:right="424" w:bottom="1134" w:left="993" w:header="708" w:footer="708" w:gutter="0"/>
          <w:cols w:num="2" w:space="709"/>
          <w:docGrid w:linePitch="360"/>
        </w:sectPr>
      </w:pPr>
      <w:r w:rsidRPr="006A4890">
        <w:rPr>
          <w:b/>
          <w:bCs/>
          <w:color w:val="244061" w:themeColor="accent1" w:themeShade="80"/>
          <w:sz w:val="23"/>
          <w:szCs w:val="23"/>
        </w:rPr>
        <w:t xml:space="preserve"> </w:t>
      </w:r>
    </w:p>
    <w:p w:rsidR="00DE40DC" w:rsidRDefault="00DE40DC" w:rsidP="00DE40DC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lastRenderedPageBreak/>
        <w:t xml:space="preserve">По </w:t>
      </w:r>
      <w:r w:rsidR="004818CD">
        <w:rPr>
          <w:noProof/>
          <w:sz w:val="23"/>
          <w:szCs w:val="23"/>
        </w:rPr>
        <w:t>итогам мо</w:t>
      </w:r>
      <w:r>
        <w:rPr>
          <w:noProof/>
          <w:sz w:val="23"/>
          <w:szCs w:val="23"/>
        </w:rPr>
        <w:t>ниторинга, п</w:t>
      </w:r>
      <w:r w:rsidR="00BD27EA">
        <w:rPr>
          <w:noProof/>
          <w:sz w:val="23"/>
          <w:szCs w:val="23"/>
        </w:rPr>
        <w:t xml:space="preserve">роводимого </w:t>
      </w:r>
      <w:r w:rsidR="004818CD">
        <w:rPr>
          <w:noProof/>
          <w:sz w:val="23"/>
          <w:szCs w:val="23"/>
        </w:rPr>
        <w:t>организацией</w:t>
      </w:r>
      <w:r>
        <w:rPr>
          <w:noProof/>
          <w:sz w:val="23"/>
          <w:szCs w:val="23"/>
        </w:rPr>
        <w:t xml:space="preserve"> за 2019-2022 годы обучения по программе</w:t>
      </w:r>
      <w:r w:rsidR="004818CD">
        <w:rPr>
          <w:noProof/>
          <w:sz w:val="23"/>
          <w:szCs w:val="23"/>
        </w:rPr>
        <w:t>,</w:t>
      </w:r>
      <w:r>
        <w:rPr>
          <w:noProof/>
          <w:sz w:val="23"/>
          <w:szCs w:val="23"/>
        </w:rPr>
        <w:t xml:space="preserve"> по всем показателям, в том числе со стороны администрации,</w:t>
      </w:r>
      <w:r w:rsidRPr="00204347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з</w:t>
      </w:r>
      <w:r w:rsidR="004818CD">
        <w:rPr>
          <w:noProof/>
          <w:sz w:val="23"/>
          <w:szCs w:val="23"/>
        </w:rPr>
        <w:t>афиксирован</w:t>
      </w:r>
      <w:r>
        <w:rPr>
          <w:noProof/>
          <w:sz w:val="23"/>
          <w:szCs w:val="23"/>
        </w:rPr>
        <w:t xml:space="preserve">а положительная динамика освоения </w:t>
      </w:r>
    </w:p>
    <w:p w:rsidR="00DE40DC" w:rsidRDefault="00DE40DC" w:rsidP="00DE40DC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>результатов ДООП</w:t>
      </w:r>
      <w:r w:rsidR="004818CD">
        <w:rPr>
          <w:noProof/>
          <w:sz w:val="23"/>
          <w:szCs w:val="23"/>
        </w:rPr>
        <w:t>.</w:t>
      </w:r>
    </w:p>
    <w:p w:rsidR="00204347" w:rsidRPr="002F7F98" w:rsidRDefault="00204347" w:rsidP="002F7F98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sectPr w:rsidR="00204347" w:rsidRPr="002F7F98" w:rsidSect="00BD27EA">
      <w:type w:val="continuous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AF5"/>
    <w:multiLevelType w:val="hybridMultilevel"/>
    <w:tmpl w:val="43FC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5A0B"/>
    <w:multiLevelType w:val="hybridMultilevel"/>
    <w:tmpl w:val="10DC3C1E"/>
    <w:lvl w:ilvl="0" w:tplc="B1FC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7C8"/>
    <w:rsid w:val="00055143"/>
    <w:rsid w:val="000A54B3"/>
    <w:rsid w:val="000E67F8"/>
    <w:rsid w:val="00204347"/>
    <w:rsid w:val="002507C8"/>
    <w:rsid w:val="00265F0A"/>
    <w:rsid w:val="002771B2"/>
    <w:rsid w:val="002975A5"/>
    <w:rsid w:val="002F7F98"/>
    <w:rsid w:val="0030506B"/>
    <w:rsid w:val="004449F9"/>
    <w:rsid w:val="004818CD"/>
    <w:rsid w:val="0048775B"/>
    <w:rsid w:val="005D700E"/>
    <w:rsid w:val="006A4890"/>
    <w:rsid w:val="006C3A3A"/>
    <w:rsid w:val="007C3409"/>
    <w:rsid w:val="007C759B"/>
    <w:rsid w:val="009A14C3"/>
    <w:rsid w:val="00A017AE"/>
    <w:rsid w:val="00BD27EA"/>
    <w:rsid w:val="00C44961"/>
    <w:rsid w:val="00CB2CA9"/>
    <w:rsid w:val="00CD312A"/>
    <w:rsid w:val="00D22A3C"/>
    <w:rsid w:val="00DE40DC"/>
    <w:rsid w:val="00E3415D"/>
    <w:rsid w:val="00E476EA"/>
    <w:rsid w:val="00F0242C"/>
    <w:rsid w:val="00F9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3465728"/>
        <c:axId val="103467264"/>
      </c:barChart>
      <c:catAx>
        <c:axId val="103465728"/>
        <c:scaling>
          <c:orientation val="minMax"/>
        </c:scaling>
        <c:axPos val="b"/>
        <c:numFmt formatCode="General" sourceLinked="1"/>
        <c:tickLblPos val="nextTo"/>
        <c:crossAx val="103467264"/>
        <c:crosses val="autoZero"/>
        <c:auto val="1"/>
        <c:lblAlgn val="ctr"/>
        <c:lblOffset val="100"/>
      </c:catAx>
      <c:valAx>
        <c:axId val="103467264"/>
        <c:scaling>
          <c:orientation val="minMax"/>
        </c:scaling>
        <c:axPos val="l"/>
        <c:majorGridlines/>
        <c:numFmt formatCode="General" sourceLinked="1"/>
        <c:tickLblPos val="nextTo"/>
        <c:crossAx val="1034657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axId val="109542784"/>
        <c:axId val="108758144"/>
      </c:barChart>
      <c:catAx>
        <c:axId val="109542784"/>
        <c:scaling>
          <c:orientation val="minMax"/>
        </c:scaling>
        <c:axPos val="b"/>
        <c:tickLblPos val="nextTo"/>
        <c:crossAx val="108758144"/>
        <c:crosses val="autoZero"/>
        <c:auto val="1"/>
        <c:lblAlgn val="ctr"/>
        <c:lblOffset val="100"/>
      </c:catAx>
      <c:valAx>
        <c:axId val="108758144"/>
        <c:scaling>
          <c:orientation val="minMax"/>
        </c:scaling>
        <c:axPos val="l"/>
        <c:majorGridlines/>
        <c:numFmt formatCode="General" sourceLinked="1"/>
        <c:tickLblPos val="nextTo"/>
        <c:crossAx val="10954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ативность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интелектуальное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эмоциональное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целеустремленность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креативность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сформированность отношений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нравствнное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gapWidth val="300"/>
        <c:axId val="109556864"/>
        <c:axId val="109558400"/>
      </c:barChart>
      <c:catAx>
        <c:axId val="109556864"/>
        <c:scaling>
          <c:orientation val="minMax"/>
        </c:scaling>
        <c:axPos val="l"/>
        <c:majorTickMark val="none"/>
        <c:tickLblPos val="nextTo"/>
        <c:crossAx val="109558400"/>
        <c:crosses val="autoZero"/>
        <c:auto val="1"/>
        <c:lblAlgn val="ctr"/>
        <c:lblOffset val="100"/>
      </c:catAx>
      <c:valAx>
        <c:axId val="109558400"/>
        <c:scaling>
          <c:orientation val="minMax"/>
        </c:scaling>
        <c:axPos val="b"/>
        <c:majorGridlines/>
        <c:numFmt formatCode="General" sourceLinked="1"/>
        <c:tickLblPos val="nextTo"/>
        <c:crossAx val="10955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axId val="110423424"/>
        <c:axId val="111424640"/>
      </c:barChart>
      <c:catAx>
        <c:axId val="110423424"/>
        <c:scaling>
          <c:orientation val="minMax"/>
        </c:scaling>
        <c:axPos val="b"/>
        <c:tickLblPos val="nextTo"/>
        <c:crossAx val="111424640"/>
        <c:crosses val="autoZero"/>
        <c:auto val="1"/>
        <c:lblAlgn val="ctr"/>
        <c:lblOffset val="100"/>
      </c:catAx>
      <c:valAx>
        <c:axId val="111424640"/>
        <c:scaling>
          <c:orientation val="minMax"/>
        </c:scaling>
        <c:axPos val="l"/>
        <c:majorGridlines/>
        <c:numFmt formatCode="General" sourceLinked="1"/>
        <c:tickLblPos val="nextTo"/>
        <c:crossAx val="11042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ориентация на смью</c:v>
                </c:pt>
                <c:pt idx="1">
                  <c:v>взаимодействие с семьей</c:v>
                </c:pt>
                <c:pt idx="2">
                  <c:v>отношение с педагогом</c:v>
                </c:pt>
                <c:pt idx="3">
                  <c:v>качество образования</c:v>
                </c:pt>
                <c:pt idx="4">
                  <c:v>степень комфортности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0.98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ориентация на смью</c:v>
                </c:pt>
                <c:pt idx="1">
                  <c:v>взаимодействие с семьей</c:v>
                </c:pt>
                <c:pt idx="2">
                  <c:v>отношение с педагогом</c:v>
                </c:pt>
                <c:pt idx="3">
                  <c:v>качество образования</c:v>
                </c:pt>
                <c:pt idx="4">
                  <c:v>степень комфортности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ориентация на смью</c:v>
                </c:pt>
                <c:pt idx="1">
                  <c:v>взаимодействие с семьей</c:v>
                </c:pt>
                <c:pt idx="2">
                  <c:v>отношение с педагогом</c:v>
                </c:pt>
                <c:pt idx="3">
                  <c:v>качество образования</c:v>
                </c:pt>
                <c:pt idx="4">
                  <c:v>степень комфортности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2811520"/>
        <c:axId val="102813056"/>
      </c:barChart>
      <c:catAx>
        <c:axId val="102811520"/>
        <c:scaling>
          <c:orientation val="minMax"/>
        </c:scaling>
        <c:axPos val="l"/>
        <c:tickLblPos val="nextTo"/>
        <c:crossAx val="102813056"/>
        <c:crosses val="autoZero"/>
        <c:auto val="1"/>
        <c:lblAlgn val="ctr"/>
        <c:lblOffset val="100"/>
      </c:catAx>
      <c:valAx>
        <c:axId val="102813056"/>
        <c:scaling>
          <c:orientation val="minMax"/>
        </c:scaling>
        <c:axPos val="b"/>
        <c:majorGridlines/>
        <c:numFmt formatCode="0%" sourceLinked="1"/>
        <c:tickLblPos val="nextTo"/>
        <c:crossAx val="102811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8</cp:revision>
  <dcterms:created xsi:type="dcterms:W3CDTF">2023-03-14T06:47:00Z</dcterms:created>
  <dcterms:modified xsi:type="dcterms:W3CDTF">2023-03-14T12:19:00Z</dcterms:modified>
</cp:coreProperties>
</file>